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before="60" w:after="40"/>
      </w:pPr>
      <w:r>
        <w:rPr>
          <w:b/>
          <w:color w:val="2E74B5"/>
          <w:sz w:val="18"/>
        </w:rPr>
        <w:t>JOPLIN HOMELESS COALITION</w:t>
      </w:r>
    </w:p>
    <w:p>
      <w:pPr>
        <w:spacing w:after="40"/>
      </w:pPr>
      <w:r>
        <w:rPr>
          <w:b/>
          <w:sz w:val="46"/>
        </w:rPr>
        <w:t>Data Committee Meeting Minutes</w:t>
      </w:r>
    </w:p>
    <w:p>
      <w:pPr>
        <w:spacing w:after="40"/>
      </w:pPr>
      <w:r>
        <w:rPr>
          <w:b/>
          <w:sz w:val="21"/>
        </w:rPr>
        <w:t xml:space="preserve">Date: </w:t>
      </w:r>
      <w:r>
        <w:rPr>
          <w:sz w:val="21"/>
        </w:rPr>
        <w:t>September 16, 2026</w:t>
      </w:r>
    </w:p>
    <w:p>
      <w:pPr>
        <w:spacing w:after="40"/>
      </w:pPr>
      <w:r>
        <w:rPr>
          <w:b/>
          <w:sz w:val="21"/>
        </w:rPr>
        <w:t xml:space="preserve">Meeting time: </w:t>
      </w:r>
      <w:r>
        <w:rPr>
          <w:b/>
          <w:sz w:val="21"/>
        </w:rPr>
        <w:t>11:00 a.m.</w:t>
      </w:r>
    </w:p>
    <w:p>
      <w:pPr>
        <w:spacing w:after="40"/>
      </w:pPr>
      <w:r>
        <w:rPr>
          <w:b/>
          <w:sz w:val="21"/>
        </w:rPr>
        <w:t xml:space="preserve">Next meeting: </w:t>
      </w:r>
      <w:r>
        <w:rPr>
          <w:sz w:val="21"/>
        </w:rPr>
        <w:t>October 21, 2026, at 11:00 a.m.</w:t>
      </w:r>
    </w:p>
    <w:p>
      <w:pPr>
        <w:pStyle w:val="Heading1"/>
        <w:keepNext/>
      </w:pPr>
      <w:r>
        <w:t>Attendance</w:t>
      </w:r>
    </w:p>
    <w:p>
      <w:pPr/>
      <w:r>
        <w:t>Present: Casey Collins, Layne Bourgeous, Jessica Lara-Hughes, Dandy Myles, and Josh Shackles.</w:t>
      </w:r>
    </w:p>
    <w:p>
      <w:pPr>
        <w:pStyle w:val="Heading1"/>
        <w:keepNext/>
      </w:pPr>
      <w:r>
        <w:t>Opening</w:t>
      </w:r>
    </w:p>
    <w:p>
      <w:pPr>
        <w:widowControl/>
      </w:pPr>
      <w:r>
        <w:t>Casey Collins called the meeting to order and requested approval of the August 19, 2026 minutes. Layne Bourgeous moved to approve the minutes, and Dandy Myles seconded. With no opposition voiced, the motion carried. Casey then turned the meeting over to Josh Shackles to present the proposed data collection forms.</w:t>
      </w:r>
    </w:p>
    <w:p>
      <w:pPr>
        <w:pStyle w:val="Heading1"/>
        <w:keepNext/>
      </w:pPr>
      <w:r>
        <w:t>Discussion</w:t>
      </w:r>
    </w:p>
    <w:p>
      <w:pPr>
        <w:pStyle w:val="Heading2"/>
        <w:keepNext/>
      </w:pPr>
      <w:r>
        <w:t>Review of data collection forms</w:t>
      </w:r>
    </w:p>
    <w:p>
      <w:pPr>
        <w:widowControl/>
      </w:pPr>
      <w:r>
        <w:t>Josh reviewed three tools: the Opportunity Center provider service report, the basic services data set, and the Assessment for People Experiencing Homelessness. The Opportunity Center form is already being used by Salvation Army providers to report services provided during their shifts. The basic services form will capture activity such as meals, bed nights, and showers across community organizations. The individual assessment is intended to document experiences and needs directly from people experiencing homelessness.</w:t>
      </w:r>
    </w:p>
    <w:p>
      <w:pPr>
        <w:widowControl/>
      </w:pPr>
      <w:r>
        <w:t>Members considered where the individual assessment could be distributed. Suggestions included street outreach and locations where participants have time to complete a longer form, such as Minnie Hackney Community Service Center and the NAS. The System of Care team would help determine appropriate distribution, with assistance from Public Education. Members generally supported moving the forms forward for Executive Committee review before broader distribution; no separate formal vote approving the forms was recorded.</w:t>
      </w:r>
    </w:p>
    <w:p>
      <w:pPr>
        <w:pStyle w:val="Heading2"/>
        <w:keepNext/>
      </w:pPr>
      <w:r>
        <w:t>Duplicate responses, privacy, and dashboard reporting</w:t>
      </w:r>
    </w:p>
    <w:p>
      <w:pPr>
        <w:widowControl/>
      </w:pPr>
      <w:r>
        <w:t>Dandy Myles raised concern that an anonymous assessment could be completed more than once by the same person, inflating counts if responses were reported as unique individuals. The group supported adding a screening question asking whether the respondent had completed the survey within the past six months. Josh also discussed retaining older responses in the underlying data while limiting the main dashboard to recent responses. Other possibilities, including a pseudonymous identifier, were explored but not adopted.</w:t>
      </w:r>
    </w:p>
    <w:p>
      <w:pPr>
        <w:widowControl/>
      </w:pPr>
      <w:r>
        <w:t>Layne emphasized that survey data may still be useful for identifying trends and service gaps even when unique-person totals cannot be established. Members supported a clear dashboard disclosure that duplication may remain despite precautions. Dandy described HMIS as a longer-term option for deduplicated service data, while noting that expanding provider participation would require funding, training, privacy and security processes, and staff support. Members also noted that direct data integration with WellSky would involve vendor costs, client matching limitations, and release-of-information considerations; no integration was authorized.</w:t>
      </w:r>
    </w:p>
    <w:p>
      <w:pPr>
        <w:pStyle w:val="Heading2"/>
        <w:keepNext/>
      </w:pPr>
      <w:r>
        <w:t>Data gaps and community context</w:t>
      </w:r>
    </w:p>
    <w:p>
      <w:pPr>
        <w:widowControl/>
      </w:pPr>
      <w:r>
        <w:t>The committee discussed information needed to present a fuller picture of homelessness in the Joplin area. Topics included sheltering in vehicles or outdoors, couch surfing, changes in living situations over time, gaps in Coordinated Entry and HMIS coverage, and firsthand accounts of housing instability. Members discussed whether the assessment should capture experiences over the preceding 30 days in addition to where someone slept the night before. Dandy explained that HMIS uses related conditional questions to establish prior living situation and duration of homelessness.</w:t>
      </w:r>
    </w:p>
    <w:p>
      <w:pPr>
        <w:widowControl/>
      </w:pPr>
      <w:r>
        <w:t>Casey stressed the importance of input from Coordinated Entry staff, who were not represented at the meeting. Layne noted that future strategic planning may produce additional data requests, including information on accessible shelter accommodations and barriers faced by people with disabilities or fall risks.</w:t>
      </w:r>
    </w:p>
    <w:p>
      <w:pPr>
        <w:pStyle w:val="Heading2"/>
        <w:keepNext/>
      </w:pPr>
      <w:r>
        <w:t>Communitywide data sources and sharing</w:t>
      </w:r>
    </w:p>
    <w:p>
      <w:pPr>
        <w:widowControl/>
      </w:pPr>
      <w:r>
        <w:t>Josh asked about using existing data rather than duplicating reporting work for partner agencies. Dandy clarified that Salvation Army projects funded through ESG and other applicable programs already report in the CoC HMIS, although Salvation Army also uses a private community-services system whose additional data are not necessarily included. Project-level or CoC-level reports may be requested through appropriate channels; disclosure of cross-CoC client information would require additional permissions. Josh agreed to follow up with Salvation Army leadership about what, if any, additional information might be available.</w:t>
      </w:r>
    </w:p>
    <w:p>
      <w:pPr>
        <w:widowControl/>
      </w:pPr>
      <w:r>
        <w:t>The group also revisited CharityTracker as a potential source of shared or aggregated community information. Josh noted that an API-based feed could make approved data available for the coalition dashboard. Layne said he would continue discussions with Mr. Whitford about whether information could be shared. No data-sharing agreement or API connection was approved during the meeting.</w:t>
      </w:r>
    </w:p>
    <w:p>
      <w:pPr>
        <w:pStyle w:val="Heading2"/>
        <w:keepNext/>
      </w:pPr>
      <w:r>
        <w:t>Coordinated Entry, transience, and cross-city service history</w:t>
      </w:r>
    </w:p>
    <w:p>
      <w:pPr>
        <w:widowControl/>
      </w:pPr>
      <w:r>
        <w:t>Members explored whether HMIS could help determine where people served locally had previously received assistance. The discussion focused on responding to public assumptions that large numbers of people experiencing homelessness are being brought to Joplin from other cities. Dandy identified the last permanent-address ZIP code already collected in HMIS as one potentially useful indicator, while noting that it does not establish an individual’s complete movement or housing history.</w:t>
      </w:r>
    </w:p>
    <w:p>
      <w:pPr>
        <w:widowControl/>
      </w:pPr>
      <w:r>
        <w:t>Dandy explained that sharing information across CoCs would depend on the proposed purpose, the applicable HMIS privacy notices, and authorization from each affected CoC board. Participants also cautioned that voluntary relocation to access housing or reunite with support networks should not be interpreted as involuntary displacement. Josh indicated that any proposal for broader cross-CoC sharing should first be discussed with the coalition Executive Committee. No request for statewide data sharing was authorized at this meeting.</w:t>
      </w:r>
    </w:p>
    <w:p>
      <w:pPr>
        <w:pStyle w:val="Heading1"/>
        <w:keepNext/>
      </w:pPr>
      <w:r>
        <w:t>Follow-Up Items</w:t>
      </w:r>
    </w:p>
    <w:tbl>
      <w:tblPr>
        <w:tblStyle w:val="TableGrid"/>
        <w:tblW w:w="9360" w:type="dxa"/>
        <w:tblInd w:w="120" w:type="dxa"/>
        <w:tblBorders>
          <w:top w:val="single" w:sz="6" w:space="0" w:color="C9D0D8"/>
          <w:left w:val="single" w:sz="6" w:space="0" w:color="C9D0D8"/>
          <w:bottom w:val="single" w:sz="6" w:space="0" w:color="C9D0D8"/>
          <w:right w:val="single" w:sz="6" w:space="0" w:color="C9D0D8"/>
          <w:insideH w:val="single" w:sz="6" w:space="0" w:color="C9D0D8"/>
          <w:insideV w:val="single" w:sz="6" w:space="0" w:color="C9D0D8"/>
        </w:tblBorders>
        <w:tblLayout w:type="fixed"/>
        <w:tblLook w:val="04A0" w:firstRow="1" w:lastRow="0" w:firstColumn="1" w:lastColumn="0" w:noHBand="0" w:noVBand="1"/>
      </w:tblPr>
      <w:tblGrid>
        <w:gridCol w:w="5200"/>
        <w:gridCol w:w="1900"/>
        <w:gridCol w:w="2260"/>
      </w:tblGrid>
      <w:tr w:rsidR="009A5903" w14:paraId="40FF1945" w14:textId="77777777">
        <w:trPr>
          <w:tblHeader/>
          <w:tblHeader w:val="true"/>
          <w:cantSplit/>
        </w:trPr>
        <w:tc>
          <w:tcPr>
            <w:tcW w:w="5200" w:type="dxa"/>
            <w:shd w:val="clear" w:color="auto" w:fill="F2F4F7"/>
            <w:tcMar>
              <w:top w:w="80" w:type="dxa"/>
              <w:left w:w="120" w:type="dxa"/>
              <w:bottom w:w="80" w:type="dxa"/>
              <w:right w:w="120" w:type="dxa"/>
            </w:tcMar>
            <w:vAlign w:val="center"/>
          </w:tcPr>
          <w:p w14:paraId="490D29AC" w14:textId="77777777" w:rsidR="009A5903" w:rsidRDefault="00000000">
            <w:pPr>
              <w:spacing w:after="0"/>
            </w:pPr>
            <w:r>
              <w:rPr>
                <w:b/>
                <w:sz w:val="19"/>
              </w:rPr>
              <w:t>Action</w:t>
            </w:r>
          </w:p>
        </w:tc>
        <w:tc>
          <w:tcPr>
            <w:tcW w:w="1900" w:type="dxa"/>
            <w:shd w:val="clear" w:color="auto" w:fill="F2F4F7"/>
            <w:tcMar>
              <w:top w:w="80" w:type="dxa"/>
              <w:left w:w="120" w:type="dxa"/>
              <w:bottom w:w="80" w:type="dxa"/>
              <w:right w:w="120" w:type="dxa"/>
            </w:tcMar>
            <w:vAlign w:val="center"/>
          </w:tcPr>
          <w:p w14:paraId="19049390" w14:textId="77777777" w:rsidR="009A5903" w:rsidRDefault="00000000">
            <w:pPr>
              <w:spacing w:after="0"/>
            </w:pPr>
            <w:r>
              <w:rPr>
                <w:b/>
                <w:sz w:val="19"/>
              </w:rPr>
              <w:t>Lead</w:t>
            </w:r>
          </w:p>
        </w:tc>
        <w:tc>
          <w:tcPr>
            <w:tcW w:w="2260" w:type="dxa"/>
            <w:shd w:val="clear" w:color="auto" w:fill="F2F4F7"/>
            <w:tcMar>
              <w:top w:w="80" w:type="dxa"/>
              <w:left w:w="120" w:type="dxa"/>
              <w:bottom w:w="80" w:type="dxa"/>
              <w:right w:w="120" w:type="dxa"/>
            </w:tcMar>
            <w:vAlign w:val="center"/>
          </w:tcPr>
          <w:p w14:paraId="5F9DBA40" w14:textId="77777777" w:rsidR="009A5903" w:rsidRDefault="00000000">
            <w:pPr>
              <w:spacing w:after="0"/>
            </w:pPr>
            <w:r>
              <w:rPr>
                <w:b/>
                <w:sz w:val="19"/>
              </w:rPr>
              <w:t>Timing</w:t>
            </w:r>
          </w:p>
        </w:tc>
      </w:tr>
      <w:tr w:rsidR="009A5903" w14:paraId="0B1D1AB4" w14:textId="77777777">
        <w:trPr>
          <w:cantSplit/>
        </w:trPr>
        <w:tc>
          <w:tcPr>
            <w:tcW w:w="5200" w:type="dxa"/>
            <w:tcMar>
              <w:top w:w="80" w:type="dxa"/>
              <w:left w:w="120" w:type="dxa"/>
              <w:bottom w:w="80" w:type="dxa"/>
              <w:right w:w="120" w:type="dxa"/>
            </w:tcMar>
            <w:vAlign w:val="center"/>
          </w:tcPr>
          <w:p w14:paraId="157934C0" w14:textId="77777777" w:rsidR="009A5903" w:rsidRDefault="00000000">
            <w:pPr>
              <w:spacing w:after="0" w:line="252" w:lineRule="auto"/>
            </w:pPr>
            <w:r>
              <w:rPr>
                <w:sz w:val="18"/>
              </w:rPr>
              <w:t>Add a question asking whether the individual assessment was completed in the past six months; consider dashboard language about potential duplicates.</w:t>
            </w:r>
          </w:p>
        </w:tc>
        <w:tc>
          <w:tcPr>
            <w:tcW w:w="1900" w:type="dxa"/>
            <w:tcMar>
              <w:top w:w="80" w:type="dxa"/>
              <w:left w:w="120" w:type="dxa"/>
              <w:bottom w:w="80" w:type="dxa"/>
              <w:right w:w="120" w:type="dxa"/>
            </w:tcMar>
            <w:vAlign w:val="center"/>
          </w:tcPr>
          <w:p w14:paraId="65E96491" w14:textId="77777777" w:rsidR="009A5903" w:rsidRDefault="00000000">
            <w:pPr>
              <w:spacing w:after="0" w:line="252" w:lineRule="auto"/>
            </w:pPr>
            <w:r>
              <w:rPr>
                <w:sz w:val="18"/>
              </w:rPr>
              <w:t>Josh Shackles</w:t>
            </w:r>
          </w:p>
        </w:tc>
        <w:tc>
          <w:tcPr>
            <w:tcW w:w="2260" w:type="dxa"/>
            <w:tcMar>
              <w:top w:w="80" w:type="dxa"/>
              <w:left w:w="120" w:type="dxa"/>
              <w:bottom w:w="80" w:type="dxa"/>
              <w:right w:w="120" w:type="dxa"/>
            </w:tcMar>
            <w:vAlign w:val="center"/>
          </w:tcPr>
          <w:p w14:paraId="45C3FF11" w14:textId="77777777" w:rsidR="009A5903" w:rsidRDefault="00000000">
            <w:pPr>
              <w:spacing w:after="0" w:line="252" w:lineRule="auto"/>
            </w:pPr>
            <w:r>
              <w:rPr>
                <w:sz w:val="18"/>
              </w:rPr>
              <w:t>Before Executive Committee review / publication</w:t>
            </w:r>
          </w:p>
        </w:tc>
      </w:tr>
      <w:tr w:rsidR="009A5903" w14:paraId="0072B1FF" w14:textId="77777777">
        <w:trPr>
          <w:cantSplit/>
        </w:trPr>
        <w:tc>
          <w:tcPr>
            <w:tcW w:w="5200" w:type="dxa"/>
            <w:tcMar>
              <w:top w:w="80" w:type="dxa"/>
              <w:left w:w="120" w:type="dxa"/>
              <w:bottom w:w="80" w:type="dxa"/>
              <w:right w:w="120" w:type="dxa"/>
            </w:tcMar>
            <w:vAlign w:val="center"/>
          </w:tcPr>
          <w:p w14:paraId="7696119A" w14:textId="77777777" w:rsidR="009A5903" w:rsidRDefault="00000000">
            <w:pPr>
              <w:spacing w:after="0" w:line="252" w:lineRule="auto"/>
            </w:pPr>
            <w:r>
              <w:rPr>
                <w:sz w:val="18"/>
              </w:rPr>
              <w:t>Present the three data collection forms to the Executive Committee for feedback, then coordinate distribution with Public Education and System of Care as directed.</w:t>
            </w:r>
          </w:p>
        </w:tc>
        <w:tc>
          <w:tcPr>
            <w:tcW w:w="1900" w:type="dxa"/>
            <w:tcMar>
              <w:top w:w="80" w:type="dxa"/>
              <w:left w:w="120" w:type="dxa"/>
              <w:bottom w:w="80" w:type="dxa"/>
              <w:right w:w="120" w:type="dxa"/>
            </w:tcMar>
            <w:vAlign w:val="center"/>
          </w:tcPr>
          <w:p w14:paraId="762E3335" w14:textId="77777777" w:rsidR="009A5903" w:rsidRDefault="00000000">
            <w:pPr>
              <w:spacing w:after="0" w:line="252" w:lineRule="auto"/>
            </w:pPr>
            <w:r>
              <w:rPr>
                <w:sz w:val="18"/>
              </w:rPr>
              <w:t>Josh Shackles</w:t>
            </w:r>
          </w:p>
        </w:tc>
        <w:tc>
          <w:tcPr>
            <w:tcW w:w="2260" w:type="dxa"/>
            <w:tcMar>
              <w:top w:w="80" w:type="dxa"/>
              <w:left w:w="120" w:type="dxa"/>
              <w:bottom w:w="80" w:type="dxa"/>
              <w:right w:w="120" w:type="dxa"/>
            </w:tcMar>
            <w:vAlign w:val="center"/>
          </w:tcPr>
          <w:p w14:paraId="656F789B" w14:textId="77777777" w:rsidR="009A5903" w:rsidRDefault="00000000">
            <w:pPr>
              <w:spacing w:after="0" w:line="252" w:lineRule="auto"/>
            </w:pPr>
            <w:r>
              <w:rPr>
                <w:sz w:val="18"/>
              </w:rPr>
              <w:t>Before broader distribution</w:t>
            </w:r>
          </w:p>
        </w:tc>
      </w:tr>
      <w:tr w:rsidR="009A5903" w14:paraId="4FAF8EB7" w14:textId="77777777">
        <w:trPr>
          <w:cantSplit/>
        </w:trPr>
        <w:tc>
          <w:tcPr>
            <w:tcW w:w="5200" w:type="dxa"/>
            <w:tcMar>
              <w:top w:w="80" w:type="dxa"/>
              <w:left w:w="120" w:type="dxa"/>
              <w:bottom w:w="80" w:type="dxa"/>
              <w:right w:w="120" w:type="dxa"/>
            </w:tcMar>
            <w:vAlign w:val="center"/>
          </w:tcPr>
          <w:p w14:paraId="4B233564" w14:textId="77777777" w:rsidR="009A5903" w:rsidRDefault="00000000">
            <w:pPr>
              <w:spacing w:after="0" w:line="252" w:lineRule="auto"/>
            </w:pPr>
            <w:r>
              <w:rPr>
                <w:sz w:val="18"/>
              </w:rPr>
              <w:t>Follow up with Salvation Army leadership about additional information available from its private WellSky/community-services reporting.</w:t>
            </w:r>
          </w:p>
        </w:tc>
        <w:tc>
          <w:tcPr>
            <w:tcW w:w="1900" w:type="dxa"/>
            <w:tcMar>
              <w:top w:w="80" w:type="dxa"/>
              <w:left w:w="120" w:type="dxa"/>
              <w:bottom w:w="80" w:type="dxa"/>
              <w:right w:w="120" w:type="dxa"/>
            </w:tcMar>
            <w:vAlign w:val="center"/>
          </w:tcPr>
          <w:p w14:paraId="20C4082F" w14:textId="77777777" w:rsidR="009A5903" w:rsidRDefault="00000000">
            <w:pPr>
              <w:spacing w:after="0" w:line="252" w:lineRule="auto"/>
            </w:pPr>
            <w:r>
              <w:rPr>
                <w:sz w:val="18"/>
              </w:rPr>
              <w:t>Josh Shackles</w:t>
            </w:r>
          </w:p>
        </w:tc>
        <w:tc>
          <w:tcPr>
            <w:tcW w:w="2260" w:type="dxa"/>
            <w:tcMar>
              <w:top w:w="80" w:type="dxa"/>
              <w:left w:w="120" w:type="dxa"/>
              <w:bottom w:w="80" w:type="dxa"/>
              <w:right w:w="120" w:type="dxa"/>
            </w:tcMar>
            <w:vAlign w:val="center"/>
          </w:tcPr>
          <w:p w14:paraId="1B7AC3A0" w14:textId="77777777" w:rsidR="009A5903" w:rsidRDefault="00000000">
            <w:pPr>
              <w:spacing w:after="0" w:line="252" w:lineRule="auto"/>
            </w:pPr>
            <w:r>
              <w:rPr>
                <w:sz w:val="18"/>
              </w:rPr>
              <w:t>Report back at a future meeting</w:t>
            </w:r>
          </w:p>
        </w:tc>
      </w:tr>
      <w:tr w:rsidR="009A5903" w14:paraId="0B1D1AB4" w14:textId="77777777">
        <w:trPr>
          <w:cantSplit/>
        </w:trPr>
        <w:tc>
          <w:tcPr>
            <w:tcW w:w="5200" w:type="dxa"/>
            <w:tcMar>
              <w:top w:w="80" w:type="dxa"/>
              <w:left w:w="120" w:type="dxa"/>
              <w:bottom w:w="80" w:type="dxa"/>
              <w:right w:w="120" w:type="dxa"/>
            </w:tcMar>
            <w:vAlign w:val="center"/>
          </w:tcPr>
          <w:p w14:paraId="157934C0" w14:textId="77777777" w:rsidR="009A5903" w:rsidRDefault="00000000">
            <w:pPr>
              <w:spacing w:after="0" w:line="252" w:lineRule="auto"/>
            </w:pPr>
            <w:r>
              <w:rPr>
                <w:sz w:val="18"/>
              </w:rPr>
              <w:t>Continue exploring what aggregated or approved CharityTracker data could be shared for the community dashboard.</w:t>
            </w:r>
          </w:p>
        </w:tc>
        <w:tc>
          <w:tcPr>
            <w:tcW w:w="1900" w:type="dxa"/>
            <w:tcMar>
              <w:top w:w="80" w:type="dxa"/>
              <w:left w:w="120" w:type="dxa"/>
              <w:bottom w:w="80" w:type="dxa"/>
              <w:right w:w="120" w:type="dxa"/>
            </w:tcMar>
            <w:vAlign w:val="center"/>
          </w:tcPr>
          <w:p w14:paraId="65E96491" w14:textId="77777777" w:rsidR="009A5903" w:rsidRDefault="00000000">
            <w:pPr>
              <w:spacing w:after="0" w:line="252" w:lineRule="auto"/>
            </w:pPr>
            <w:r>
              <w:rPr>
                <w:sz w:val="18"/>
              </w:rPr>
              <w:t>Layne Bourgeous</w:t>
            </w:r>
          </w:p>
        </w:tc>
        <w:tc>
          <w:tcPr>
            <w:tcW w:w="2260" w:type="dxa"/>
            <w:tcMar>
              <w:top w:w="80" w:type="dxa"/>
              <w:left w:w="120" w:type="dxa"/>
              <w:bottom w:w="80" w:type="dxa"/>
              <w:right w:w="120" w:type="dxa"/>
            </w:tcMar>
            <w:vAlign w:val="center"/>
          </w:tcPr>
          <w:p w14:paraId="45C3FF11" w14:textId="77777777" w:rsidR="009A5903" w:rsidRDefault="00000000">
            <w:pPr>
              <w:spacing w:after="0" w:line="252" w:lineRule="auto"/>
            </w:pPr>
            <w:r>
              <w:rPr>
                <w:sz w:val="18"/>
              </w:rPr>
              <w:t>Ongoing; provide an update</w:t>
            </w:r>
          </w:p>
        </w:tc>
      </w:tr>
      <w:tr w:rsidR="009A5903" w14:paraId="0B1D1AB4" w14:textId="77777777">
        <w:trPr>
          <w:cantSplit/>
        </w:trPr>
        <w:tc>
          <w:tcPr>
            <w:tcW w:w="5200" w:type="dxa"/>
            <w:tcMar>
              <w:top w:w="80" w:type="dxa"/>
              <w:left w:w="120" w:type="dxa"/>
              <w:bottom w:w="80" w:type="dxa"/>
              <w:right w:w="120" w:type="dxa"/>
            </w:tcMar>
            <w:vAlign w:val="center"/>
          </w:tcPr>
          <w:p w14:paraId="157934C0" w14:textId="77777777" w:rsidR="009A5903" w:rsidRDefault="00000000">
            <w:pPr>
              <w:spacing w:after="0" w:line="252" w:lineRule="auto"/>
            </w:pPr>
            <w:r>
              <w:rPr>
                <w:sz w:val="18"/>
              </w:rPr>
              <w:t>Consider additional data needs, including living situations over time, accessible shelter barriers, and gaps in Coordinated Entry coverage.</w:t>
            </w:r>
          </w:p>
        </w:tc>
        <w:tc>
          <w:tcPr>
            <w:tcW w:w="1900" w:type="dxa"/>
            <w:tcMar>
              <w:top w:w="80" w:type="dxa"/>
              <w:left w:w="120" w:type="dxa"/>
              <w:bottom w:w="80" w:type="dxa"/>
              <w:right w:w="120" w:type="dxa"/>
            </w:tcMar>
            <w:vAlign w:val="center"/>
          </w:tcPr>
          <w:p w14:paraId="65E96491" w14:textId="77777777" w:rsidR="009A5903" w:rsidRDefault="00000000">
            <w:pPr>
              <w:spacing w:after="0" w:line="252" w:lineRule="auto"/>
            </w:pPr>
            <w:r>
              <w:rPr>
                <w:sz w:val="18"/>
              </w:rPr>
              <w:t>Committee members</w:t>
            </w:r>
          </w:p>
        </w:tc>
        <w:tc>
          <w:tcPr>
            <w:tcW w:w="2260" w:type="dxa"/>
            <w:tcMar>
              <w:top w:w="80" w:type="dxa"/>
              <w:left w:w="120" w:type="dxa"/>
              <w:bottom w:w="80" w:type="dxa"/>
              <w:right w:w="120" w:type="dxa"/>
            </w:tcMar>
            <w:vAlign w:val="center"/>
          </w:tcPr>
          <w:p w14:paraId="45C3FF11" w14:textId="77777777" w:rsidR="009A5903" w:rsidRDefault="00000000">
            <w:pPr>
              <w:spacing w:after="0" w:line="252" w:lineRule="auto"/>
            </w:pPr>
            <w:r>
              <w:rPr>
                <w:sz w:val="18"/>
              </w:rPr>
              <w:t>As forms and priorities are refined</w:t>
            </w:r>
          </w:p>
        </w:tc>
      </w:tr>
      <w:tr w:rsidR="009A5903" w14:paraId="0B1D1AB4" w14:textId="77777777">
        <w:trPr>
          <w:cantSplit/>
        </w:trPr>
        <w:tc>
          <w:tcPr>
            <w:tcW w:w="5200" w:type="dxa"/>
            <w:tcMar>
              <w:top w:w="80" w:type="dxa"/>
              <w:left w:w="120" w:type="dxa"/>
              <w:bottom w:w="80" w:type="dxa"/>
              <w:right w:w="120" w:type="dxa"/>
            </w:tcMar>
            <w:vAlign w:val="center"/>
          </w:tcPr>
          <w:p w14:paraId="157934C0" w14:textId="77777777" w:rsidR="009A5903" w:rsidRDefault="00000000">
            <w:pPr>
              <w:spacing w:after="0" w:line="252" w:lineRule="auto"/>
            </w:pPr>
            <w:r>
              <w:rPr>
                <w:sz w:val="18"/>
              </w:rPr>
              <w:t>Bring any proposed cross-CoC information-sharing approach to the coalition Executive Committee before requesting other CoCs’ approval.</w:t>
            </w:r>
          </w:p>
        </w:tc>
        <w:tc>
          <w:tcPr>
            <w:tcW w:w="1900" w:type="dxa"/>
            <w:tcMar>
              <w:top w:w="80" w:type="dxa"/>
              <w:left w:w="120" w:type="dxa"/>
              <w:bottom w:w="80" w:type="dxa"/>
              <w:right w:w="120" w:type="dxa"/>
            </w:tcMar>
            <w:vAlign w:val="center"/>
          </w:tcPr>
          <w:p w14:paraId="65E96491" w14:textId="77777777" w:rsidR="009A5903" w:rsidRDefault="00000000">
            <w:pPr>
              <w:spacing w:after="0" w:line="252" w:lineRule="auto"/>
            </w:pPr>
            <w:r>
              <w:rPr>
                <w:sz w:val="18"/>
              </w:rPr>
              <w:t>Josh Shackles</w:t>
            </w:r>
          </w:p>
        </w:tc>
        <w:tc>
          <w:tcPr>
            <w:tcW w:w="2260" w:type="dxa"/>
            <w:tcMar>
              <w:top w:w="80" w:type="dxa"/>
              <w:left w:w="120" w:type="dxa"/>
              <w:bottom w:w="80" w:type="dxa"/>
              <w:right w:w="120" w:type="dxa"/>
            </w:tcMar>
            <w:vAlign w:val="center"/>
          </w:tcPr>
          <w:p w14:paraId="45C3FF11" w14:textId="77777777" w:rsidR="009A5903" w:rsidRDefault="00000000">
            <w:pPr>
              <w:spacing w:after="0" w:line="252" w:lineRule="auto"/>
            </w:pPr>
            <w:r>
              <w:rPr>
                <w:sz w:val="18"/>
              </w:rPr>
              <w:t>Prior to any external request</w:t>
            </w:r>
          </w:p>
        </w:tc>
      </w:tr>
    </w:tbl>
    <w:p>
      <w:pPr>
        <w:pStyle w:val="Heading1"/>
        <w:keepNext/>
      </w:pPr>
      <w:r>
        <w:t>Next Meeting and Adjournment</w:t>
      </w:r>
    </w:p>
    <w:p>
      <w:pPr>
        <w:widowControl/>
      </w:pPr>
      <w:r>
        <w:t>The next meeting is scheduled for Wednesday, October 21, 2026, at 11:00 a.m. Casey indicated she expects to be on medical leave, and the group noted that meeting facilitation may need to be arranged. The committee will continue reviewing the assessment rollout, available data sources, and outstanding information-sharing questions after Executive Committee feedback.</w:t>
      </w:r>
    </w:p>
    <w:p>
      <w:pPr/>
      <w:r>
        <w:t>With no additional business raised, the meeting concluded shortly before noon. Approval of the August minutes was the only formal motion recorded.</w:t>
      </w:r>
    </w:p>
    <w:sectPr w:rsidR="009A5903" w:rsidSect="00034616">
      <w:head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13AE8" w14:textId="77777777" w:rsidR="000810D7" w:rsidRDefault="000810D7">
      <w:pPr>
        <w:spacing w:after="0" w:line="240" w:lineRule="auto"/>
      </w:pPr>
      <w:r>
        <w:separator/>
      </w:r>
    </w:p>
  </w:endnote>
  <w:endnote w:type="continuationSeparator" w:id="0">
    <w:p w14:paraId="3A65B6A8" w14:textId="77777777" w:rsidR="000810D7" w:rsidRDefault="0008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7C9F7" w14:textId="77777777" w:rsidR="000810D7" w:rsidRDefault="000810D7">
      <w:pPr>
        <w:spacing w:after="0" w:line="240" w:lineRule="auto"/>
      </w:pPr>
      <w:r>
        <w:separator/>
      </w:r>
    </w:p>
  </w:footnote>
  <w:footnote w:type="continuationSeparator" w:id="0">
    <w:p w14:paraId="211560F2" w14:textId="77777777" w:rsidR="000810D7" w:rsidRDefault="00081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530F" w14:textId="74387B23" w:rsidR="009A5903" w:rsidRDefault="00000000">
    <w:pPr>
      <w:pStyle w:val="Header"/>
      <w:jc w:val="right"/>
    </w:pPr>
    <w:r>
      <w:rPr>
        <w:b/>
        <w:color w:val="5A626C"/>
        <w:sz w:val="17"/>
      </w:rPr>
      <w:t xml:space="preserve">DATA </w:t>
    </w:r>
    <w:proofErr w:type="gramStart"/>
    <w:r>
      <w:rPr>
        <w:b/>
        <w:color w:val="5A626C"/>
        <w:sz w:val="17"/>
      </w:rPr>
      <w:t>COMMITTEE  |</w:t>
    </w:r>
    <w:proofErr w:type="gramEnd"/>
    <w:r>
      <w:rPr>
        <w:b/>
        <w:color w:val="5A626C"/>
        <w:sz w:val="17"/>
      </w:rPr>
      <w:t xml:space="preserve">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8721996">
    <w:abstractNumId w:val="8"/>
  </w:num>
  <w:num w:numId="2" w16cid:durableId="1544099998">
    <w:abstractNumId w:val="6"/>
  </w:num>
  <w:num w:numId="3" w16cid:durableId="361713015">
    <w:abstractNumId w:val="5"/>
  </w:num>
  <w:num w:numId="4" w16cid:durableId="1219511706">
    <w:abstractNumId w:val="4"/>
  </w:num>
  <w:num w:numId="5" w16cid:durableId="873346038">
    <w:abstractNumId w:val="7"/>
  </w:num>
  <w:num w:numId="6" w16cid:durableId="2096122164">
    <w:abstractNumId w:val="3"/>
  </w:num>
  <w:num w:numId="7" w16cid:durableId="1920170610">
    <w:abstractNumId w:val="2"/>
  </w:num>
  <w:num w:numId="8" w16cid:durableId="1833716301">
    <w:abstractNumId w:val="1"/>
  </w:num>
  <w:num w:numId="9" w16cid:durableId="124669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10D7"/>
    <w:rsid w:val="0015074B"/>
    <w:rsid w:val="0029639D"/>
    <w:rsid w:val="00326F90"/>
    <w:rsid w:val="009A5903"/>
    <w:rsid w:val="00A70756"/>
    <w:rsid w:val="00AA1D8D"/>
    <w:rsid w:val="00B47730"/>
    <w:rsid w:val="00CB0664"/>
    <w:rsid w:val="00FC4E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BA6C84"/>
  <w14:defaultImageDpi w14:val="300"/>
  <w15:docId w15:val="{319EBE49-98AE-467F-87B0-6D25B472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26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Committee Meeting Minutes - Draft</dc:title>
  <dc:subject>Joplin Homeless Coalition Data Committee</dc:subject>
  <dc:creator>Joplin Homeless Coalition</dc:creator>
  <cp:keywords>Data Committee, meeting minutes, homelessness data</cp:keywords>
  <dc:description>generated by python-docx</dc:description>
  <cp:lastModifiedBy>Josh Shackles</cp:lastModifiedBy>
  <cp:revision>2</cp:revision>
  <dcterms:created xsi:type="dcterms:W3CDTF">2013-12-23T23:15:00Z</dcterms:created>
  <dcterms:modified xsi:type="dcterms:W3CDTF">2026-09-03T18:03:00Z</dcterms:modified>
  <cp:category/>
</cp:coreProperties>
</file>